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BB2C3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Apéndice A. Formulación matemática de los indicadores de gestión</w:t>
      </w:r>
    </w:p>
    <w:p w14:paraId="30A5BCFB" w14:textId="4BB0424D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sz w:val="24"/>
          <w:szCs w:val="24"/>
        </w:rPr>
        <w:t xml:space="preserve">El presente </w:t>
      </w:r>
      <w:r>
        <w:rPr>
          <w:rFonts w:ascii="Times New Roman" w:hAnsi="Times New Roman" w:cs="Times New Roman"/>
          <w:sz w:val="24"/>
          <w:szCs w:val="24"/>
        </w:rPr>
        <w:t>documento</w:t>
      </w:r>
      <w:r w:rsidRPr="00370349">
        <w:rPr>
          <w:rFonts w:ascii="Times New Roman" w:hAnsi="Times New Roman" w:cs="Times New Roman"/>
          <w:sz w:val="24"/>
          <w:szCs w:val="24"/>
        </w:rPr>
        <w:t xml:space="preserve"> reúne las expresiones matemáticas utilizadas para calcular los indicadores de gestión aplicados en el plan de mejoramiento de los procesos productivos de la empresa </w:t>
      </w:r>
      <w:proofErr w:type="spellStart"/>
      <w:r w:rsidRPr="00370349">
        <w:rPr>
          <w:rFonts w:ascii="Times New Roman" w:hAnsi="Times New Roman" w:cs="Times New Roman"/>
          <w:sz w:val="24"/>
          <w:szCs w:val="24"/>
        </w:rPr>
        <w:t>Agroavícola</w:t>
      </w:r>
      <w:proofErr w:type="spellEnd"/>
      <w:r w:rsidRPr="00370349">
        <w:rPr>
          <w:rFonts w:ascii="Times New Roman" w:hAnsi="Times New Roman" w:cs="Times New Roman"/>
          <w:sz w:val="24"/>
          <w:szCs w:val="24"/>
        </w:rPr>
        <w:t xml:space="preserve"> La Fortaleza S.A.S..</w:t>
      </w:r>
      <w:r w:rsidRPr="00370349">
        <w:rPr>
          <w:rFonts w:ascii="Times New Roman" w:hAnsi="Times New Roman" w:cs="Times New Roman"/>
          <w:sz w:val="24"/>
          <w:szCs w:val="24"/>
        </w:rPr>
        <w:br/>
        <w:t>Estos indicadores se emplearon para cuantificar el impacto de las acciones implementadas durante la fase de verificación del ciclo PHVA y permitir la comparación objetiva de resultados antes y después de la intervención.</w:t>
      </w:r>
    </w:p>
    <w:p w14:paraId="492DCF0E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A.1 Conversión alimenticia (CA)</w:t>
      </w:r>
    </w:p>
    <w:p w14:paraId="7D6D1BCE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sz w:val="24"/>
          <w:szCs w:val="24"/>
        </w:rPr>
        <w:t>Evalúa la relación entre la cantidad de alimento suministrado y el incremento de peso del lote.</w:t>
      </w:r>
    </w:p>
    <w:p w14:paraId="28AE9A83" w14:textId="068FEEE3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CA=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Cantidad total de alimento consumido (Kg)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Peso total ganado (Kg)</m:t>
              </m:r>
            </m:den>
          </m:f>
        </m:oMath>
      </m:oMathPara>
    </w:p>
    <w:p w14:paraId="2B3875CB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Interpretación técnica:</w:t>
      </w:r>
      <w:r w:rsidRPr="00370349">
        <w:rPr>
          <w:rFonts w:ascii="Times New Roman" w:hAnsi="Times New Roman" w:cs="Times New Roman"/>
          <w:sz w:val="24"/>
          <w:szCs w:val="24"/>
        </w:rPr>
        <w:br/>
        <w:t>Un valor más bajo de CA indica un mejor aprovechamiento del alimento. Su seguimiento permitió determinar la eficiencia de los galpones automatizados frente a los manuales.</w:t>
      </w:r>
    </w:p>
    <w:p w14:paraId="4C477743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A.2 Tasa de mortalidad (M%)</w:t>
      </w:r>
    </w:p>
    <w:p w14:paraId="6CB7253F" w14:textId="77777777" w:rsid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sz w:val="24"/>
          <w:szCs w:val="24"/>
        </w:rPr>
        <w:t>Mide el porcentaje de aves que no lograron completar el ciclo de levante debido a causas sanitarias, ambientales o de manejo.</w:t>
      </w:r>
    </w:p>
    <w:p w14:paraId="0E0D5EEE" w14:textId="4D2585F4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%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Número de aves muertas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Número total de aves al inicio del ciclo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</m:t>
          </m:r>
        </m:oMath>
      </m:oMathPara>
    </w:p>
    <w:p w14:paraId="3CC07A00" w14:textId="6E834E88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C2F07CA" w14:textId="6834A84A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lastRenderedPageBreak/>
        <w:t>Interpretación técnica:</w:t>
      </w:r>
      <w:r w:rsidRPr="00370349">
        <w:rPr>
          <w:rFonts w:ascii="Times New Roman" w:hAnsi="Times New Roman" w:cs="Times New Roman"/>
          <w:sz w:val="24"/>
          <w:szCs w:val="24"/>
        </w:rPr>
        <w:br/>
        <w:t>Una disminución del indicador refleja un entorno más estable, mayor control de bioseguridad y mejoras en el bienestar animal.</w:t>
      </w:r>
    </w:p>
    <w:p w14:paraId="634AD42E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A.3 Índice de desperdicio de alimento (IDA%)</w:t>
      </w:r>
    </w:p>
    <w:p w14:paraId="48BAD608" w14:textId="77777777" w:rsid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sz w:val="24"/>
          <w:szCs w:val="24"/>
        </w:rPr>
        <w:t>Representa la proporción de alimento perdido por derrame o mala distribución.</w:t>
      </w:r>
    </w:p>
    <w:p w14:paraId="2511DAC4" w14:textId="1998B73D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IDA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%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Cantidad de alimento desperdiciado(Kg)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Cantidad total de alimento suministrado (Kg)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</m:t>
          </m:r>
        </m:oMath>
      </m:oMathPara>
    </w:p>
    <w:p w14:paraId="7989A512" w14:textId="0B269888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Interpretación técnica:</w:t>
      </w:r>
      <w:r w:rsidRPr="00370349">
        <w:rPr>
          <w:rFonts w:ascii="Times New Roman" w:hAnsi="Times New Roman" w:cs="Times New Roman"/>
          <w:sz w:val="24"/>
          <w:szCs w:val="24"/>
        </w:rPr>
        <w:br/>
        <w:t xml:space="preserve">Este indicador fue clave para evaluar la efectividad de los dispositivos </w:t>
      </w:r>
      <w:proofErr w:type="spellStart"/>
      <w:r w:rsidRPr="00370349">
        <w:rPr>
          <w:rFonts w:ascii="Times New Roman" w:hAnsi="Times New Roman" w:cs="Times New Roman"/>
          <w:sz w:val="24"/>
          <w:szCs w:val="24"/>
        </w:rPr>
        <w:t>antidesperdicio</w:t>
      </w:r>
      <w:proofErr w:type="spellEnd"/>
      <w:r w:rsidRPr="00370349">
        <w:rPr>
          <w:rFonts w:ascii="Times New Roman" w:hAnsi="Times New Roman" w:cs="Times New Roman"/>
          <w:sz w:val="24"/>
          <w:szCs w:val="24"/>
        </w:rPr>
        <w:t xml:space="preserve"> instalados en los galpones manuales.</w:t>
      </w:r>
    </w:p>
    <w:p w14:paraId="308E9AC0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A.4 Eficiencia de producción (EP)</w:t>
      </w:r>
    </w:p>
    <w:p w14:paraId="69D39149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sz w:val="24"/>
          <w:szCs w:val="24"/>
        </w:rPr>
        <w:t>Relaciona la ganancia de peso promedio con el tiempo del ciclo de levante.</w:t>
      </w:r>
    </w:p>
    <w:p w14:paraId="62B63F18" w14:textId="426027E4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EP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Peso promedio final (g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Duración del ciclo (días)</m:t>
              </m:r>
            </m:den>
          </m:f>
        </m:oMath>
      </m:oMathPara>
    </w:p>
    <w:p w14:paraId="3750CAD0" w14:textId="7DE727B9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Interpretación técnica:</w:t>
      </w:r>
      <w:r w:rsidRPr="00370349">
        <w:rPr>
          <w:rFonts w:ascii="Times New Roman" w:hAnsi="Times New Roman" w:cs="Times New Roman"/>
          <w:sz w:val="24"/>
          <w:szCs w:val="24"/>
        </w:rPr>
        <w:br/>
        <w:t>Un aumento del valor de EP indica una mayor productividad diaria y una respuesta positiva de las aves a las mejoras operativas y ambientales.</w:t>
      </w:r>
    </w:p>
    <w:p w14:paraId="31816E72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A.5 Cumplimiento de capacitación del personal (CCP%)</w:t>
      </w:r>
    </w:p>
    <w:p w14:paraId="4D76DFEF" w14:textId="77777777" w:rsid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sz w:val="24"/>
          <w:szCs w:val="24"/>
        </w:rPr>
        <w:t>Determina el grado de participación de los operarios en los programas formativos diseñados dentro del plan de mejoramiento.</w:t>
      </w:r>
    </w:p>
    <w:p w14:paraId="0286D932" w14:textId="6E6B40A6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CCP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%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Número total de empleados capacitados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Total de empleados programados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</m:t>
          </m:r>
        </m:oMath>
      </m:oMathPara>
    </w:p>
    <w:p w14:paraId="53033F79" w14:textId="239C090E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lastRenderedPageBreak/>
        <w:t>Interpretación técnica:</w:t>
      </w:r>
      <w:r w:rsidRPr="00370349">
        <w:rPr>
          <w:rFonts w:ascii="Times New Roman" w:hAnsi="Times New Roman" w:cs="Times New Roman"/>
          <w:sz w:val="24"/>
          <w:szCs w:val="24"/>
        </w:rPr>
        <w:br/>
        <w:t>La evolución positiva de este indicador evidenció el compromiso del equipo con la actualización técnica y la sostenibilidad del cambio implementado.</w:t>
      </w:r>
    </w:p>
    <w:p w14:paraId="3EA6E491" w14:textId="77777777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A.6 Cumplimiento global del plan (CGP%)</w:t>
      </w:r>
    </w:p>
    <w:p w14:paraId="239B5FD3" w14:textId="77777777" w:rsid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sz w:val="24"/>
          <w:szCs w:val="24"/>
        </w:rPr>
        <w:t>Sintetiza el avance general del plan de mejoramiento en función del número de objetivos alcanzados frente al total propuesto.</w:t>
      </w:r>
    </w:p>
    <w:p w14:paraId="39043275" w14:textId="2527083B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CGP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%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Número de acciones completadas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Total de acciones programadas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</m:t>
          </m:r>
        </m:oMath>
      </m:oMathPara>
    </w:p>
    <w:p w14:paraId="1D971533" w14:textId="25445501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349">
        <w:rPr>
          <w:rFonts w:ascii="Times New Roman" w:hAnsi="Times New Roman" w:cs="Times New Roman"/>
          <w:b/>
          <w:bCs/>
          <w:sz w:val="24"/>
          <w:szCs w:val="24"/>
        </w:rPr>
        <w:t>Interpretación técnica:</w:t>
      </w:r>
      <w:r w:rsidRPr="00370349">
        <w:rPr>
          <w:rFonts w:ascii="Times New Roman" w:hAnsi="Times New Roman" w:cs="Times New Roman"/>
          <w:sz w:val="24"/>
          <w:szCs w:val="24"/>
        </w:rPr>
        <w:br/>
        <w:t>Este indicador final permitió evaluar la ejecución integral del proyecto, asegurando la alineación entre las metas iniciales y los resultados obtenidos.</w:t>
      </w:r>
    </w:p>
    <w:p w14:paraId="48150EA8" w14:textId="7D1B7AB9" w:rsidR="00370349" w:rsidRPr="00370349" w:rsidRDefault="00370349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83EFCBC" w14:textId="77777777" w:rsidR="001A31F0" w:rsidRPr="00370349" w:rsidRDefault="001A31F0" w:rsidP="00370349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1A31F0" w:rsidRPr="00370349" w:rsidSect="003703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49"/>
    <w:rsid w:val="001A31F0"/>
    <w:rsid w:val="00370349"/>
    <w:rsid w:val="00792745"/>
    <w:rsid w:val="009E0600"/>
    <w:rsid w:val="00B44160"/>
    <w:rsid w:val="00BB7F60"/>
    <w:rsid w:val="00BC5012"/>
    <w:rsid w:val="00C23440"/>
    <w:rsid w:val="00F9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9F0F8"/>
  <w15:chartTrackingRefBased/>
  <w15:docId w15:val="{2C861C3A-0B71-48DD-A604-F060EF10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703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03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03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703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703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703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703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703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703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03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03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703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7034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7034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7034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7034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7034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7034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703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703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703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703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703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7034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7034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7034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703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7034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70349"/>
    <w:rPr>
      <w:b/>
      <w:bCs/>
      <w:smallCaps/>
      <w:color w:val="2F5496" w:themeColor="accent1" w:themeShade="BF"/>
      <w:spacing w:val="5"/>
    </w:rPr>
  </w:style>
  <w:style w:type="character" w:styleId="Textodelmarcadordeposicin">
    <w:name w:val="Placeholder Text"/>
    <w:basedOn w:val="Fuentedeprrafopredeter"/>
    <w:uiPriority w:val="99"/>
    <w:semiHidden/>
    <w:rsid w:val="0037034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486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arellano</dc:creator>
  <cp:keywords/>
  <dc:description/>
  <cp:lastModifiedBy>steven arellano</cp:lastModifiedBy>
  <cp:revision>1</cp:revision>
  <dcterms:created xsi:type="dcterms:W3CDTF">2025-10-23T04:24:00Z</dcterms:created>
  <dcterms:modified xsi:type="dcterms:W3CDTF">2025-10-23T04:33:00Z</dcterms:modified>
</cp:coreProperties>
</file>